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ПОЛИТИКА В ОТНОШЕНИИ ОБРАБОТКИ</w:t>
        <w:br/>
        <w:t>ПЕРСОНАЛЬНЫХ ДАННЫХ</w:t>
      </w:r>
    </w:p>
    <w:p>
      <w:r>
        <w:rPr>
          <w:rFonts w:ascii="Arial" w:hAnsi="Arial"/>
          <w:b/>
          <w:sz w:val="22"/>
        </w:rPr>
        <w:t>Индивидуального предпринимателя Варфоломеева Владимира Владимировича</w:t>
      </w:r>
    </w:p>
    <w:p>
      <w:pPr>
        <w:pStyle w:val="SmallGray"/>
      </w:pPr>
      <w:r>
        <w:t>Редакция от 21 июля 2026 года • сайт shovtech.com</w:t>
      </w:r>
    </w:p>
    <w:p>
      <w:pPr>
        <w:pStyle w:val="Heading1"/>
      </w:pPr>
      <w:r>
        <w:t>1. Общие положения</w:t>
      </w:r>
    </w:p>
    <w:p>
      <w:r>
        <w:t>1.1. Настоящая Политика определяет порядок и условия обработки персональных данных Индивидуальным предпринимателем Варфоломеевым Владимиром Владимировичем, ОГРНИП 319265100045776, ИНН 262609583035 (далее — Оператор).</w:t>
      </w:r>
    </w:p>
    <w:p>
      <w:r>
        <w:t>1.2. Политика разработана в соответствии с Федеральным законом от 27.07.2006 № 152-ФЗ «О персональных данных» и иными применимыми нормативными правовыми актами Российской Федерации.</w:t>
      </w:r>
    </w:p>
    <w:p>
      <w:r>
        <w:t>1.3. Политика применяется к персональным данным посетителей сайта https://shovtech.com (далее — Сайт), а также к данным, которые пользователь направляет через форму заявки или по контактам Оператора.</w:t>
      </w:r>
    </w:p>
    <w:p>
      <w:r>
        <w:t>1.4. Политика является общедоступным документом и не заменяет согласие субъекта персональных данных. Согласие, когда оно необходимо, предоставляется отдельно.</w:t>
      </w:r>
    </w:p>
    <w:p>
      <w:r>
        <w:t>1.5. Оператор зарегистрирован в реестре операторов персональных данных Роскомнадзора. При изменении фактических целей, состава данных, способов обработки, местонахождения баз или иных сведений Оператор обновляет сведения в реестре в установленный законом срок.</w:t>
      </w:r>
    </w:p>
    <w:p>
      <w:r>
        <w:t>1.6. Пользователь самостоятельно принимает решение о предоставлении данных. Без предоставления контактных данных Оператор не сможет ответить на обращение или обсудить возможный проект.</w:t>
      </w:r>
    </w:p>
    <w:p>
      <w:pPr>
        <w:pStyle w:val="Heading1"/>
      </w:pPr>
      <w:r>
        <w:t>2. Основные термины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6917"/>
      </w:tblGrid>
      <w:tr>
        <w:tc>
          <w:tcPr>
            <w:tcW w:type="dxa" w:w="5014"/>
            <w:shd w:fill="EAEAEA"/>
            <w:vAlign w:val="center"/>
          </w:tcPr>
          <w:p>
            <w:r>
              <w:rPr>
                <w:rFonts w:ascii="Arial" w:hAnsi="Arial"/>
                <w:b/>
                <w:sz w:val="19"/>
              </w:rPr>
              <w:t>Параметр</w:t>
            </w:r>
          </w:p>
        </w:tc>
        <w:tc>
          <w:tcPr>
            <w:tcW w:type="dxa" w:w="5014"/>
            <w:shd w:fill="EAEAEA"/>
            <w:vAlign w:val="center"/>
          </w:tcPr>
          <w:p>
            <w:r>
              <w:rPr>
                <w:rFonts w:ascii="Arial" w:hAnsi="Arial"/>
                <w:b/>
                <w:sz w:val="19"/>
              </w:rPr>
              <w:t>Содержание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Персональные данные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Любая информация, относящаяся к прямо или косвенно определенному или определяемому физическому лицу.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Обработка персональных данных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Любое действие или совокупность действий с персональными данными, включая сбор, запись, систематизацию, накопление, хранение, уточнение, извлечение, использование, передачу, блокирование, удаление и уничтожение.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Пользователь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Физическое лицо, посещающее Сайт или направляющее Оператору обращение.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Cookie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Небольшие фрагменты данных и идентификаторы, сохраняемые браузером или иными средствами для работы Сайта, запоминания выбора пользователя и проведения аналитики.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Обязательные cookie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Технические cookie и иные технологии, необходимые для базовой работы, безопасности и сохранения выбора пользователя.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Аналитические cookie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Cookie и идентификаторы, используемые для оценки посещаемости и поведения пользователей. На Сайте используются только после получения согласия.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Форма заявки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Интерфейс Сайта, через который пользователь добровольно направляет Оператору контактные данные и описание задачи.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Трансграничная передача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Передача персональных данных на территорию иностранного государства иностранному органу, физическому или юридическому лицу.</w:t>
            </w:r>
          </w:p>
        </w:tc>
      </w:tr>
    </w:tbl>
    <w:p>
      <w:pPr>
        <w:spacing w:after="0"/>
      </w:pPr>
    </w:p>
    <w:p>
      <w:pPr>
        <w:pStyle w:val="Heading1"/>
      </w:pPr>
      <w:r>
        <w:t>3. Принципы обработки</w:t>
      </w:r>
    </w:p>
    <w:p>
      <w:pPr>
        <w:pStyle w:val="PolicyBullet"/>
      </w:pPr>
      <w:r>
        <w:t>• обработка осуществляется на законной и справедливой основе;</w:t>
      </w:r>
    </w:p>
    <w:p>
      <w:pPr>
        <w:pStyle w:val="PolicyBullet"/>
      </w:pPr>
      <w:r>
        <w:t>• цели обработки определяются заранее и формулируются конкретно;</w:t>
      </w:r>
    </w:p>
    <w:p>
      <w:pPr>
        <w:pStyle w:val="PolicyBullet"/>
      </w:pPr>
      <w:r>
        <w:t>• состав и объем данных соответствуют заявленным целям;</w:t>
      </w:r>
    </w:p>
    <w:p>
      <w:pPr>
        <w:pStyle w:val="PolicyBullet"/>
      </w:pPr>
      <w:r>
        <w:t>• не допускается избыточная обработка и объединение несовместимых баз;</w:t>
      </w:r>
    </w:p>
    <w:p>
      <w:pPr>
        <w:pStyle w:val="PolicyBullet"/>
      </w:pPr>
      <w:r>
        <w:t>• обеспечиваются точность, достаточность и актуальность данных;</w:t>
      </w:r>
    </w:p>
    <w:p>
      <w:pPr>
        <w:pStyle w:val="PolicyBullet"/>
      </w:pPr>
      <w:r>
        <w:t>• данные хранятся не дольше, чем этого требуют цели обработки или закон;</w:t>
      </w:r>
    </w:p>
    <w:p>
      <w:pPr>
        <w:pStyle w:val="PolicyBullet"/>
      </w:pPr>
      <w:r>
        <w:t>• после достижения цели данные уничтожаются либо обезличиваются, если отсутствует иное законное основание.</w:t>
      </w:r>
    </w:p>
    <w:p>
      <w:pPr>
        <w:pStyle w:val="Heading1"/>
      </w:pPr>
      <w:r>
        <w:t>4. Цели, состав данных, основания и сроки</w:t>
      </w:r>
    </w:p>
    <w:p>
      <w:pPr>
        <w:pStyle w:val="Heading2"/>
      </w:pPr>
      <w:r>
        <w:t>4.1. Работа и безопасность Сайта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6917"/>
      </w:tblGrid>
      <w:tr>
        <w:tc>
          <w:tcPr>
            <w:tcW w:type="dxa" w:w="5014"/>
            <w:shd w:fill="EAEAEA"/>
            <w:vAlign w:val="center"/>
          </w:tcPr>
          <w:p>
            <w:r>
              <w:rPr>
                <w:rFonts w:ascii="Arial" w:hAnsi="Arial"/>
                <w:b/>
                <w:sz w:val="19"/>
              </w:rPr>
              <w:t>Параметр</w:t>
            </w:r>
          </w:p>
        </w:tc>
        <w:tc>
          <w:tcPr>
            <w:tcW w:type="dxa" w:w="5014"/>
            <w:shd w:fill="EAEAEA"/>
            <w:vAlign w:val="center"/>
          </w:tcPr>
          <w:p>
            <w:r>
              <w:rPr>
                <w:rFonts w:ascii="Arial" w:hAnsi="Arial"/>
                <w:b/>
                <w:sz w:val="19"/>
              </w:rPr>
              <w:t>Содержание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Данные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IP-адрес; дата и время запроса; адрес страницы; сведения о браузере и устройстве; технические журналы; обязательные cookie; выбранные настройки cookie.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Субъекты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Посетители Сайта.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Цель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Отображение страниц, защита от злоупотреблений, диагностика ошибок и сохранение выбора пользователя.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Основание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Пункт 7 части 1 статьи 6 № 152-ФЗ: законный интерес Оператора в обеспечении работоспособности и безопасности Сайта при условии соблюдения прав субъекта.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Способ и действия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Автоматизированная обработка: сбор, запись, хранение, использование, блокирование и удаление.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Срок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Сессионные cookie — до закрытия браузера; cookie с выбором пользователя — до 12 месяцев; технические журналы — не более 12 месяцев, если более длительный срок не требуется для расследования инцидента или защиты прав.</w:t>
            </w:r>
          </w:p>
        </w:tc>
      </w:tr>
    </w:tbl>
    <w:p>
      <w:pPr>
        <w:spacing w:after="0"/>
      </w:pPr>
    </w:p>
    <w:p>
      <w:pPr>
        <w:pStyle w:val="Heading2"/>
      </w:pPr>
      <w:r>
        <w:t>4.2. Веб-аналитика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6917"/>
      </w:tblGrid>
      <w:tr>
        <w:tc>
          <w:tcPr>
            <w:tcW w:type="dxa" w:w="5014"/>
            <w:shd w:fill="EAEAEA"/>
            <w:vAlign w:val="center"/>
          </w:tcPr>
          <w:p>
            <w:r>
              <w:rPr>
                <w:rFonts w:ascii="Arial" w:hAnsi="Arial"/>
                <w:b/>
                <w:sz w:val="19"/>
              </w:rPr>
              <w:t>Параметр</w:t>
            </w:r>
          </w:p>
        </w:tc>
        <w:tc>
          <w:tcPr>
            <w:tcW w:type="dxa" w:w="5014"/>
            <w:shd w:fill="EAEAEA"/>
            <w:vAlign w:val="center"/>
          </w:tcPr>
          <w:p>
            <w:r>
              <w:rPr>
                <w:rFonts w:ascii="Arial" w:hAnsi="Arial"/>
                <w:b/>
                <w:sz w:val="19"/>
              </w:rPr>
              <w:t>Содержание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Данные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IP-адрес в объеме, получаемом сервисом; cookie и ClientID; сведения о браузере и устройстве; источник перехода; просмотренные страницы; клики, прокрутка и приблизительная география.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Субъекты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Посетители, согласившиеся на аналитические cookie.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Цель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Оценка посещаемости, анализ эффективности страниц и улучшение Сайта.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Основание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Согласие субъекта персональных данных: пункт 1 части 1 статьи 6 и статья 9 № 152-ФЗ.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Получатель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ООО «ЯНДЕКС», ИНН 7736207543, в объеме, необходимом для работы сервиса Яндекс Метрика.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Срок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До отзыва согласия или истечения срока его действия. Выбор пользователя сохраняется до 12 месяцев. Сроки отдельных cookie определяются их назначением и условиями сервиса.</w:t>
            </w:r>
          </w:p>
        </w:tc>
      </w:tr>
    </w:tbl>
    <w:p>
      <w:pPr>
        <w:spacing w:after="0"/>
      </w:pPr>
    </w:p>
    <w:p>
      <w:pPr>
        <w:pStyle w:val="Heading2"/>
      </w:pPr>
      <w:r>
        <w:t>4.3. Обработка заявки и обратная связь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6917"/>
      </w:tblGrid>
      <w:tr>
        <w:tc>
          <w:tcPr>
            <w:tcW w:type="dxa" w:w="5014"/>
            <w:shd w:fill="EAEAEA"/>
            <w:vAlign w:val="center"/>
          </w:tcPr>
          <w:p>
            <w:r>
              <w:rPr>
                <w:rFonts w:ascii="Arial" w:hAnsi="Arial"/>
                <w:b/>
                <w:sz w:val="19"/>
              </w:rPr>
              <w:t>Параметр</w:t>
            </w:r>
          </w:p>
        </w:tc>
        <w:tc>
          <w:tcPr>
            <w:tcW w:type="dxa" w:w="5014"/>
            <w:shd w:fill="EAEAEA"/>
            <w:vAlign w:val="center"/>
          </w:tcPr>
          <w:p>
            <w:r>
              <w:rPr>
                <w:rFonts w:ascii="Arial" w:hAnsi="Arial"/>
                <w:b/>
                <w:sz w:val="19"/>
              </w:rPr>
              <w:t>Содержание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Данные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Имя или указанное пользователем обозначение; наименование компании; адрес электронной почты; краткое описание задачи; предполагаемый срок начала работ; содержание последующей переписки.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Субъекты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Пользователи, направившие заявку.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Цели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Получение и рассмотрение заявки; ответ пользователю; уточнение задачи; обсуждение условий возможного проекта; подготовка предложения и совершение действий до заключения договора по инициативе пользователя.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Основание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Согласие пользователя; при переговорах о договоре — пункт 5 части 1 статьи 6 № 152-ФЗ.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Способ и действия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Смешанная обработка: получение, запись, хранение, использование, уточнение, передача в пределах используемой инфраструктуры, блокирование и удаление.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Срок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До достижения цели обращения и затем 1 год с даты последнего содержательного взаимодействия. При заключении договора данные обрабатываются в сроки, установленные договором и законодательством Российской Федерации.</w:t>
            </w:r>
          </w:p>
        </w:tc>
      </w:tr>
    </w:tbl>
    <w:p>
      <w:pPr>
        <w:spacing w:after="0"/>
      </w:pPr>
    </w:p>
    <w:p>
      <w:pPr>
        <w:pStyle w:val="Heading2"/>
      </w:pPr>
      <w:r>
        <w:t>4.4. Рассмотрение обращений субъекта персональных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6917"/>
      </w:tblGrid>
      <w:tr>
        <w:tc>
          <w:tcPr>
            <w:tcW w:type="dxa" w:w="5014"/>
            <w:shd w:fill="EAEAEA"/>
            <w:vAlign w:val="center"/>
          </w:tcPr>
          <w:p>
            <w:r>
              <w:rPr>
                <w:rFonts w:ascii="Arial" w:hAnsi="Arial"/>
                <w:b/>
                <w:sz w:val="19"/>
              </w:rPr>
              <w:t>Параметр</w:t>
            </w:r>
          </w:p>
        </w:tc>
        <w:tc>
          <w:tcPr>
            <w:tcW w:type="dxa" w:w="5014"/>
            <w:shd w:fill="EAEAEA"/>
            <w:vAlign w:val="center"/>
          </w:tcPr>
          <w:p>
            <w:r>
              <w:rPr>
                <w:rFonts w:ascii="Arial" w:hAnsi="Arial"/>
                <w:b/>
                <w:sz w:val="19"/>
              </w:rPr>
              <w:t>Содержание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Данные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Имя или обозначение заявителя; контакты; содержание требования; сведения, необходимые для идентификации заявителя и ответа.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Цель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Исполнение обязанностей Оператора и реализация прав субъекта персональных данных.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Основание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Пункт 2 части 1 статьи 6 № 152-ФЗ.</w:t>
            </w:r>
          </w:p>
        </w:tc>
      </w:tr>
      <w:tr>
        <w:tc>
          <w:tcPr>
            <w:tcW w:type="dxa" w:w="2381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  <w:shd w:fill="F7F7F7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sz w:val="18"/>
              </w:rPr>
              <w:t>Срок</w:t>
            </w:r>
          </w:p>
        </w:tc>
        <w:tc>
          <w:tcPr>
            <w:tcW w:type="dxa" w:w="6917"/>
            <w:vAlign w:val="top"/>
            <w:tcBorders>
              <w:top w:val="single" w:sz="4" w:color="D8D8D8"/>
              <w:left w:val="single" w:sz="4" w:color="D8D8D8"/>
              <w:bottom w:val="single" w:sz="4" w:color="D8D8D8"/>
              <w:right w:val="single" w:sz="4" w:color="D8D8D8"/>
            </w:tcBorders>
          </w:tcPr>
          <w:p>
            <w:pPr>
              <w:spacing w:after="40" w:line="252" w:lineRule="auto"/>
            </w:pPr>
            <w:r>
              <w:rPr>
                <w:rFonts w:ascii="Arial" w:hAnsi="Arial"/>
                <w:sz w:val="18"/>
              </w:rPr>
              <w:t>В течение срока рассмотрения и далее в объеме, необходимом для подтверждения исполнения обязанности и защиты прав Оператора.</w:t>
            </w:r>
          </w:p>
        </w:tc>
      </w:tr>
    </w:tbl>
    <w:p>
      <w:pPr>
        <w:spacing w:after="0"/>
      </w:pPr>
    </w:p>
    <w:p>
      <w:pPr>
        <w:pStyle w:val="Heading1"/>
      </w:pPr>
      <w:r>
        <w:t>5. Данные, предоставляемые пользователем</w:t>
      </w:r>
    </w:p>
    <w:p>
      <w:r>
        <w:t>5.1. Пользователь предоставляет данные добровольно и указывает сведения, относящиеся к нему, либо имеет законные основания для передачи сведений о другом лице.</w:t>
      </w:r>
    </w:p>
    <w:p>
      <w:r>
        <w:t>5.2. Оператор не просит направлять через свободное поле сведения о здоровье, расовой или национальной принадлежности, политических взглядах, религиозных или философских убеждениях, интимной жизни, биометрические данные, паспортные данные и платежные реквизиты.</w:t>
      </w:r>
    </w:p>
    <w:p>
      <w:r>
        <w:t>5.3. Если такие сведения получены случайно и отсутствует законное основание для их обработки, Оператор не использует их и принимает меры к удалению.</w:t>
      </w:r>
    </w:p>
    <w:p>
      <w:r>
        <w:t>5.4. Данные из заявки не используются для рекламных и информационных рассылок без отдельного согласия.</w:t>
      </w:r>
    </w:p>
    <w:p>
      <w:pPr>
        <w:pStyle w:val="Heading1"/>
      </w:pPr>
      <w:r>
        <w:t>6. Cookie и Яндекс Метрика</w:t>
      </w:r>
    </w:p>
    <w:p>
      <w:r>
        <w:t>6.1. Обязательные cookie используются для работы Сайта, обеспечения безопасности и сохранения выбора пользователя. Они не применяются для рекламы или построения маркетингового профиля.</w:t>
      </w:r>
    </w:p>
    <w:p>
      <w:r>
        <w:t>6.2. Яндекс Метрика загружается только после согласия пользователя на аналитические cookie. Отказ от аналитики не ограничивает доступ к основному содержанию Сайта.</w:t>
      </w:r>
    </w:p>
    <w:p>
      <w:r>
        <w:t>6.3. Вебвизор на Сайте отключен. Оператор не использует запись содержимого полей формы средствами Яндекс Метрики.</w:t>
      </w:r>
    </w:p>
    <w:p>
      <w:r>
        <w:t>6.4. Пользователь может принять аналитические cookie либо оставить только обязательные. Выбор должен быть доступен в первом слое cookie-уведомления и не должен быть заранее установлен.</w:t>
      </w:r>
    </w:p>
    <w:p>
      <w:r>
        <w:t>6.5. Согласие на аналитику действует 12 месяцев, если пользователь не отозвал его раньше. После истечения срока согласие запрашивается повторно.</w:t>
      </w:r>
    </w:p>
    <w:p>
      <w:r>
        <w:t>6.6. Пользователь может изменить решение через постоянно доступную ссылку «Настройки cookie» либо удалить cookie средствами браузера.</w:t>
      </w:r>
    </w:p>
    <w:p>
      <w:r>
        <w:t>6.7. В настоящее время Яндекс Метрика используется для статистики и улучшения Сайта. До подключения рекламных функций, ретаргетинга или иных маркетинговых целей Оператор обновляет Политику, интерфейс согласия и при необходимости сведения, поданные в Роскомнадзор.</w:t>
      </w:r>
    </w:p>
    <w:p>
      <w:pPr>
        <w:pStyle w:val="SmallGray"/>
      </w:pPr>
      <w:r>
        <w:t xml:space="preserve">Документы Яндекс Метрики: </w:t>
      </w:r>
      <w:hyperlink r:id="rId10">
        <w:r>
          <w:rPr>
            <w:color w:val="0563C1"/>
            <w:u w:val="single"/>
          </w:rPr>
          <w:t>условия использования</w:t>
        </w:r>
      </w:hyperlink>
      <w:r>
        <w:t xml:space="preserve">, </w:t>
      </w:r>
      <w:hyperlink r:id="rId11">
        <w:r>
          <w:rPr>
            <w:color w:val="0563C1"/>
            <w:u w:val="single"/>
          </w:rPr>
          <w:t>политика конфиденциальности</w:t>
        </w:r>
      </w:hyperlink>
      <w:r>
        <w:t>.</w:t>
      </w:r>
    </w:p>
    <w:p>
      <w:pPr>
        <w:pStyle w:val="Heading1"/>
      </w:pPr>
      <w:r>
        <w:t>7. Получатели данных и используемая инфраструктура</w:t>
      </w:r>
    </w:p>
    <w:p>
      <w:r>
        <w:t>7.1. Доступ к заявкам имеет непосредственно Оператор. Оператор не предоставляет заявки сотрудникам или подрядчикам, если это не требуется для обработки конкретного обращения и не оформлено надлежащим образом.</w:t>
      </w:r>
    </w:p>
    <w:p>
      <w:r>
        <w:t>7.2. Для размещения Сайта используется инфраструктура FirstVDS, услуги которой оказывает АО «ИОТ». Сервер выбран на территории Российской Федерации.</w:t>
      </w:r>
    </w:p>
    <w:p>
      <w:r>
        <w:t>7.3. Заявки направляются на корпоративную электронную почту в сервисе Яндекс 360. В зависимости от заключенного договора услуги предоставляет ООО «ЯНДЕКС 360 ДЛЯ БИЗНЕСА», ООО «ЯНДЕКС» либо иное указанное в договоре юридическое лицо группы Яндекс.</w:t>
      </w:r>
    </w:p>
    <w:p>
      <w:r>
        <w:t>7.4. ООО «ЯНДЕКС» получает данные, перечисленные в пункте 4.2, только после согласия пользователя на аналитические cookie.</w:t>
      </w:r>
    </w:p>
    <w:p>
      <w:r>
        <w:t>7.5. Государственным органам данные предоставляются только в случаях и объеме, предусмотренных законодательством Российской Федерации.</w:t>
      </w:r>
    </w:p>
    <w:p>
      <w:r>
        <w:t>7.6. При привлечении нового обработчика Оператор определяет в договоре цели и перечень данных, действия с ними, обязанности по конфиденциальности, безопасности, локализации, уведомлению об инцидентах и уничтожению данных.</w:t>
      </w:r>
    </w:p>
    <w:p>
      <w:pPr>
        <w:pStyle w:val="Heading1"/>
      </w:pPr>
      <w:r>
        <w:t>8. Трансграничная передача и локализация данных</w:t>
      </w:r>
    </w:p>
    <w:p>
      <w:r>
        <w:t>8.1. Оператор не осуществляет трансграничную передачу персональных данных. Первичная запись, систематизация, накопление, хранение, уточнение (обновление, изменение) и извлечение персональных данных граждан Российской Федерации осуществляются с использованием баз данных, находящихся на территории Российской Федерации.</w:t>
      </w:r>
    </w:p>
    <w:p>
      <w:pPr>
        <w:pStyle w:val="Heading1"/>
      </w:pPr>
      <w:r>
        <w:t>9. Получение и подтверждение согласия</w:t>
      </w:r>
    </w:p>
    <w:p>
      <w:r>
        <w:t>9.1. Согласие должно быть конкретным, предметным, информированным, сознательным и однозначным и оформляется отдельно от иных документов и информации, которые подтверждает пользователь.</w:t>
      </w:r>
    </w:p>
    <w:p>
      <w:r>
        <w:t>9.2. До отправки формы пользователь устанавливает непредустановленную отметку рядом со ссылкой на отдельный текст согласия на обработку персональных данных.</w:t>
      </w:r>
    </w:p>
    <w:p>
      <w:r>
        <w:t>9.3. Кнопка отправки формы недоступна либо заявка не принимается до установки отметки.</w:t>
      </w:r>
    </w:p>
    <w:p>
      <w:r>
        <w:t>9.4. Оператор сохраняет сведения, позволяющие подтвердить согласие: дату и время, адрес страницы и формы, редакцию согласия, перечень данных, источник и техническую запись события.</w:t>
      </w:r>
    </w:p>
    <w:p>
      <w:r>
        <w:t>9.5. Согласие на данные формы и согласие на аналитические cookie предоставляются независимо друг от друга.</w:t>
      </w:r>
    </w:p>
    <w:p>
      <w:r>
        <w:t>9.6. Согласие может быть отозвано через настройки cookie либо путем обращения по контактам Оператора. Отзыв не влияет на законность обработки, выполненной до его получения.</w:t>
      </w:r>
    </w:p>
    <w:p>
      <w:pPr>
        <w:pStyle w:val="Heading1"/>
      </w:pPr>
      <w:r>
        <w:t>10. Права субъекта персональных данных</w:t>
      </w:r>
    </w:p>
    <w:p>
      <w:pPr>
        <w:pStyle w:val="PolicyBullet"/>
      </w:pPr>
      <w:r>
        <w:t>• получать подтверждение обработки и сведения, предусмотренные статьей 14 № 152-ФЗ;</w:t>
      </w:r>
    </w:p>
    <w:p>
      <w:pPr>
        <w:pStyle w:val="PolicyBullet"/>
      </w:pPr>
      <w:r>
        <w:t>• требовать уточнения, блокирования или уничтожения неполных, устаревших, неточных, незаконно полученных или ненужных данных;</w:t>
      </w:r>
    </w:p>
    <w:p>
      <w:pPr>
        <w:pStyle w:val="PolicyBullet"/>
      </w:pPr>
      <w:r>
        <w:t>• отозвать согласие и потребовать прекращения обработки;</w:t>
      </w:r>
    </w:p>
    <w:p>
      <w:pPr>
        <w:pStyle w:val="PolicyBullet"/>
      </w:pPr>
      <w:r>
        <w:t>• обжаловать действия или бездействие Оператора в Роскомнадзор или в суд;</w:t>
      </w:r>
    </w:p>
    <w:p>
      <w:pPr>
        <w:pStyle w:val="PolicyBullet"/>
      </w:pPr>
      <w:r>
        <w:t>• осуществлять иные права, предусмотренные законодательством Российской Федерации.</w:t>
      </w:r>
    </w:p>
    <w:p>
      <w:r>
        <w:t>10.2. Обращение направляется по адресу go@shovtech.com либо по адресу для корреспонденции: г. Москва, Прокшинский проспект, д. 7, кв. 649.</w:t>
      </w:r>
    </w:p>
    <w:p>
      <w:r>
        <w:t>10.3. Оператор предоставляет сведения по запросу в течение 10 рабочих дней. Срок может быть продлен не более чем на 5 рабочих дней с направлением мотивированного уведомления.</w:t>
      </w:r>
    </w:p>
    <w:p>
      <w:r>
        <w:t>10.4. Неточные данные уточняются в течение 7 рабочих дней после получения подтверждающих сведений.</w:t>
      </w:r>
    </w:p>
    <w:p>
      <w:r>
        <w:t>10.5. Оператор вправе запросить сведения, необходимые для идентификации заявителя и предотвращения раскрытия данных постороннему лицу, не требуя избыточных документов.</w:t>
      </w:r>
    </w:p>
    <w:p>
      <w:pPr>
        <w:pStyle w:val="Heading1"/>
      </w:pPr>
      <w:r>
        <w:t>11. Меры защиты</w:t>
      </w:r>
    </w:p>
    <w:p>
      <w:pPr>
        <w:pStyle w:val="PolicyBullet"/>
      </w:pPr>
      <w:r>
        <w:t>• ограничение доступа к заявкам непосредственно Оператором;</w:t>
      </w:r>
    </w:p>
    <w:p>
      <w:pPr>
        <w:pStyle w:val="PolicyBullet"/>
      </w:pPr>
      <w:r>
        <w:t>• использование индивидуальных учетных данных и многофакторной аутентификации, когда она доступна;</w:t>
      </w:r>
    </w:p>
    <w:p>
      <w:pPr>
        <w:pStyle w:val="PolicyBullet"/>
      </w:pPr>
      <w:r>
        <w:t>• защищенное соединение при передаче данных через Сайт;</w:t>
      </w:r>
    </w:p>
    <w:p>
      <w:pPr>
        <w:pStyle w:val="PolicyBullet"/>
      </w:pPr>
      <w:r>
        <w:t>• обновление программного обеспечения и контроль доступа к серверу и почте;</w:t>
      </w:r>
    </w:p>
    <w:p>
      <w:pPr>
        <w:pStyle w:val="PolicyBullet"/>
      </w:pPr>
      <w:r>
        <w:t>• резервное копирование в необходимом объеме;</w:t>
      </w:r>
    </w:p>
    <w:p>
      <w:pPr>
        <w:pStyle w:val="PolicyBullet"/>
      </w:pPr>
      <w:r>
        <w:t>• регистрация и анализ событий безопасности;</w:t>
      </w:r>
    </w:p>
    <w:p>
      <w:pPr>
        <w:pStyle w:val="PolicyBullet"/>
      </w:pPr>
      <w:r>
        <w:t>• локальные правила обработки, уничтожения данных и реагирования на инциденты;</w:t>
      </w:r>
    </w:p>
    <w:p>
      <w:pPr>
        <w:pStyle w:val="PolicyBullet"/>
      </w:pPr>
      <w:r>
        <w:t>• контроль обработчиков и условий используемых сервисов.</w:t>
      </w:r>
    </w:p>
    <w:p>
      <w:pPr>
        <w:pStyle w:val="Heading1"/>
      </w:pPr>
      <w:r>
        <w:t>12. Уточнение, прекращение обработки и уничтожение</w:t>
      </w:r>
    </w:p>
    <w:p>
      <w:r>
        <w:t>12.1. При подтверждении неточности данные уточняются в течение 7 рабочих дней.</w:t>
      </w:r>
    </w:p>
    <w:p>
      <w:r>
        <w:t>12.2. При выявлении неправомерной обработки Оператор прекращает ее в срок не более 3 рабочих дней. Если обеспечить правомерность невозможно, данные уничтожаются в срок не более 10 рабочих дней.</w:t>
      </w:r>
    </w:p>
    <w:p>
      <w:r>
        <w:t>12.3. После достижения цели данные уничтожаются в срок не более 30 дней, если отсутствует иное законное основание.</w:t>
      </w:r>
    </w:p>
    <w:p>
      <w:r>
        <w:t>12.4. После отзыва согласия данные уничтожаются в срок не более 30 дней, если они больше не нужны и отсутствует основание для продолжения обработки без согласия.</w:t>
      </w:r>
    </w:p>
    <w:p>
      <w:r>
        <w:t>12.5. По требованию о прекращении обработки Оператор прекращает ее в срок не более 10 рабочих дней; срок может быть продлен не более чем на 5 рабочих дней с мотивированным уведомлением.</w:t>
      </w:r>
    </w:p>
    <w:p>
      <w:r>
        <w:t>12.6. Если уничтожение в установленный срок невозможно, данные блокируются и уничтожаются не позднее 6 месяцев, если закон не устанавливает иной срок.</w:t>
      </w:r>
    </w:p>
    <w:p>
      <w:r>
        <w:t>12.7. Уничтожение подтверждается актом и, при автоматизированной обработке, выгрузкой из журнала регистрации событий. Подтверждающие документы хранятся 3 года.</w:t>
      </w:r>
    </w:p>
    <w:p>
      <w:pPr>
        <w:pStyle w:val="Heading1"/>
      </w:pPr>
      <w:r>
        <w:t>13. Инциденты</w:t>
      </w:r>
    </w:p>
    <w:p>
      <w:r>
        <w:t>13.1. При неправомерной или случайной передаче персональных данных, повлекшей нарушение прав субъектов, Оператор уведомляет Роскомнадзор в течение 24 часов с момента выявления инцидента.</w:t>
      </w:r>
    </w:p>
    <w:p>
      <w:r>
        <w:t>13.2. В течение 72 часов Оператор направляет результаты внутреннего расследования и сведения о виновных лицах при их наличии.</w:t>
      </w:r>
    </w:p>
    <w:p>
      <w:r>
        <w:t>13.3. Оператор принимает меры по прекращению нарушения, снижению возможного вреда, сохранению доказательств и предотвращению повторения.</w:t>
      </w:r>
    </w:p>
    <w:p>
      <w:pPr>
        <w:pStyle w:val="Heading1"/>
      </w:pPr>
      <w:r>
        <w:t>14. Уведомление Роскомнадзора</w:t>
      </w:r>
    </w:p>
    <w:p>
      <w:r>
        <w:t>14.1. Оператор уведомил Роскомнадзор об обработке персональных данных и включен в реестр операторов.</w:t>
      </w:r>
    </w:p>
    <w:p>
      <w:r>
        <w:t>14.2. При изменении сведений, содержащихся в уведомлении, Оператор сообщает об изменениях не позднее 15-го числа месяца, следующего за месяцем изменения.</w:t>
      </w:r>
    </w:p>
    <w:p>
      <w:r>
        <w:t>14.3. О прекращении обработки Оператор сообщает в Роскомнадзор в течение 10 рабочих дней.</w:t>
      </w:r>
    </w:p>
    <w:p>
      <w:r>
        <w:t>14.4. До начала трансграничной передачи персональных данных Оператор обязан отдельно уведомить Роскомнадзор в порядке, установленном статьей 12 № 152-ФЗ.</w:t>
      </w:r>
    </w:p>
    <w:p>
      <w:pPr>
        <w:pStyle w:val="Heading1"/>
      </w:pPr>
      <w:r>
        <w:t>15. Заключительные положения</w:t>
      </w:r>
    </w:p>
    <w:p>
      <w:r>
        <w:t>15.1. Политика вступает в силу с 21 июля 2026 года и действует до замены новой редакцией.</w:t>
      </w:r>
    </w:p>
    <w:p>
      <w:r>
        <w:t>15.2. Новая редакция размещается на Сайте. Изменение Политики не расширяет автоматически ранее предоставленные согласия.</w:t>
      </w:r>
    </w:p>
    <w:p>
      <w:r>
        <w:t>15.3. Существенные изменения целей, состава данных или способов получения согласия применяются только после обновления соответствующих интерфейсов и, когда необходимо, получения нового согласия.</w:t>
      </w:r>
    </w:p>
    <w:p>
      <w:r>
        <w:t>15.4. Обязательный досудебный порядок не ограничивает право пользователя обратиться в Роскомнадзор или суд.</w:t>
      </w:r>
    </w:p>
    <w:p>
      <w:pPr>
        <w:pStyle w:val="Heading1"/>
        <w:keepNext/>
        <w:spacing w:after="80"/>
      </w:pPr>
      <w:r>
        <w:t>16. Реквизиты Оператора</w:t>
      </w:r>
    </w:p>
    <w:p>
      <w:pPr>
        <w:spacing w:after="0" w:before="0"/>
      </w:pPr>
      <w:r>
        <w:t>Индивидуальный предприниматель Варфоломеев Владимир Владимирович</w:t>
      </w:r>
    </w:p>
    <w:p>
      <w:pPr>
        <w:spacing w:after="0" w:before="0"/>
      </w:pPr>
      <w:r>
        <w:t>ОГРНИП: 319265100045776</w:t>
      </w:r>
    </w:p>
    <w:p>
      <w:pPr>
        <w:spacing w:after="0" w:before="0"/>
      </w:pPr>
      <w:r>
        <w:t>ИНН: 262609583035; сайт: https://shovtech.com; электронная почта: go@shovtech.com</w:t>
      </w:r>
    </w:p>
    <w:p>
      <w:pPr>
        <w:spacing w:after="0" w:before="0"/>
      </w:pPr>
      <w:r>
        <w:t>Адрес для корреспонденции: г. Москва, Прокшинский проспект, д. 7, кв. 649</w:t>
      </w:r>
    </w:p>
    <w:sectPr w:rsidR="00FC693F" w:rsidRPr="0006063C" w:rsidSect="00034616">
      <w:footerReference w:type="default" r:id="rId9"/>
      <w:pgSz w:w="12240" w:h="15840"/>
      <w:pgMar w:top="1020" w:right="1020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28282"/>
        <w:sz w:val="16"/>
      </w:rPr>
      <w:t>SHOV • Политика обработки персональных данных • редакция 21.07.2026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1111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1111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111111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Gray">
    <w:name w:val="Small Gray"/>
    <w:pPr>
      <w:spacing w:after="60"/>
    </w:pPr>
    <w:rPr>
      <w:rFonts w:ascii="Arial" w:hAnsi="Arial" w:eastAsia="Arial"/>
      <w:color w:val="646464"/>
      <w:sz w:val="17"/>
    </w:rPr>
  </w:style>
  <w:style w:type="paragraph" w:customStyle="1" w:styleId="PolicyBullet">
    <w:name w:val="Policy Bullet"/>
    <w:basedOn w:val="Normal"/>
    <w:pPr>
      <w:spacing w:after="60"/>
      <w:ind w:left="283" w:hanging="159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yandex.ru/legal/metrica_termsofuse/ru/" TargetMode="External"/><Relationship Id="rId11" Type="http://schemas.openxmlformats.org/officeDocument/2006/relationships/hyperlink" Target="https://yandex.ru/legal/confidential/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 отношении обработки персональных данных SHOV</dc:title>
  <dc:subject>Редакция от 21 июля 2026 года</dc:subject>
  <dc:creator>ИП Варфоломеев Владимир Владимирович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